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EndPr/>
      <w:sdtContent>
        <w:p w14:paraId="4C94FB23" w14:textId="1765EEC3" w:rsidR="00193D0F" w:rsidRDefault="00193D0F" w:rsidP="00193D0F"/>
        <w:p w14:paraId="20097EA0" w14:textId="67414AC1" w:rsidR="00953951" w:rsidRPr="00193D0F" w:rsidRDefault="008805F1" w:rsidP="00193D0F"/>
      </w:sdtContent>
    </w:sdt>
    <w:p w14:paraId="4AEE0BBA" w14:textId="1253484D" w:rsidR="00A47FD4" w:rsidRPr="00193D0F" w:rsidRDefault="00A47FD4" w:rsidP="00193D0F">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CF4BA5">
      <w:pPr>
        <w:pStyle w:val="Heading1"/>
      </w:pPr>
      <w:bookmarkStart w:id="1" w:name="_Toc67398590"/>
      <w:r w:rsidRPr="00193D0F">
        <w:t>Rates of Pay</w:t>
      </w:r>
      <w:bookmarkEnd w:id="1"/>
    </w:p>
    <w:p w14:paraId="7E683F2E" w14:textId="77777777" w:rsidR="00B12D10" w:rsidRPr="00193D0F" w:rsidRDefault="00B12D10" w:rsidP="00CF4BA5">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CF4BA5">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CF4BA5">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CF4BA5">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93D0F">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93D0F">
      <w:pPr>
        <w:pStyle w:val="Header"/>
        <w:tabs>
          <w:tab w:val="clear" w:pos="4680"/>
          <w:tab w:val="clear" w:pos="9360"/>
        </w:tabs>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93D0F">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07A922BC" w:rsidR="00D00A2C" w:rsidRPr="00193D0F" w:rsidRDefault="00D00A2C" w:rsidP="00193D0F">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193D0F">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93D0F">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vacations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93D0F">
      <w:bookmarkStart w:id="12" w:name="_Toc67398601"/>
      <w:r w:rsidRPr="00193D0F">
        <w:t>Scheduling of Vacation</w:t>
      </w:r>
      <w:bookmarkEnd w:id="12"/>
    </w:p>
    <w:p w14:paraId="3983D502" w14:textId="77777777" w:rsidR="001925F5" w:rsidRPr="00193D0F" w:rsidRDefault="001925F5" w:rsidP="00193D0F">
      <w:r w:rsidRPr="00193D0F">
        <w:t>Departmental heads will have the administrative responsibility for scheduling vacation.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93D0F">
      <w:r w:rsidRPr="00193D0F">
        <w:br w:type="page"/>
      </w:r>
      <w:bookmarkStart w:id="13" w:name="_Toc67398602"/>
      <w:r w:rsidR="00710EED" w:rsidRPr="00193D0F">
        <w:t>Leave of Absence</w:t>
      </w:r>
      <w:bookmarkEnd w:id="13"/>
    </w:p>
    <w:p w14:paraId="437EB65A" w14:textId="77777777" w:rsidR="00710EED" w:rsidRPr="00193D0F" w:rsidRDefault="00710EED" w:rsidP="00193D0F">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93D0F">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93D0F">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410E5D">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BAF1D" w14:textId="77777777" w:rsidR="000635A2" w:rsidRDefault="000635A2" w:rsidP="007575C4">
      <w:r>
        <w:separator/>
      </w:r>
    </w:p>
  </w:endnote>
  <w:endnote w:type="continuationSeparator" w:id="0">
    <w:p w14:paraId="284FC57E" w14:textId="77777777" w:rsidR="000635A2" w:rsidRDefault="000635A2"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99775" w14:textId="77777777" w:rsidR="000635A2" w:rsidRDefault="000635A2" w:rsidP="007575C4">
      <w:r>
        <w:separator/>
      </w:r>
    </w:p>
  </w:footnote>
  <w:footnote w:type="continuationSeparator" w:id="0">
    <w:p w14:paraId="58FA9457" w14:textId="77777777" w:rsidR="000635A2" w:rsidRDefault="000635A2"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F750A"/>
    <w:rsid w:val="001011E0"/>
    <w:rsid w:val="00165D06"/>
    <w:rsid w:val="001925F5"/>
    <w:rsid w:val="00193D0F"/>
    <w:rsid w:val="001A6FC8"/>
    <w:rsid w:val="001B6F24"/>
    <w:rsid w:val="001B7CFC"/>
    <w:rsid w:val="001D47D1"/>
    <w:rsid w:val="00253FF0"/>
    <w:rsid w:val="0027461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05F1"/>
    <w:rsid w:val="0088514B"/>
    <w:rsid w:val="00895EC9"/>
    <w:rsid w:val="008B5027"/>
    <w:rsid w:val="00953951"/>
    <w:rsid w:val="00A16C1A"/>
    <w:rsid w:val="00A35A78"/>
    <w:rsid w:val="00A440FB"/>
    <w:rsid w:val="00A47FD4"/>
    <w:rsid w:val="00A70E1E"/>
    <w:rsid w:val="00A94E5B"/>
    <w:rsid w:val="00AA27F6"/>
    <w:rsid w:val="00B12D10"/>
    <w:rsid w:val="00C23E68"/>
    <w:rsid w:val="00C26A61"/>
    <w:rsid w:val="00C4133A"/>
    <w:rsid w:val="00CC1EED"/>
    <w:rsid w:val="00CF4BA5"/>
    <w:rsid w:val="00D00A2C"/>
    <w:rsid w:val="00D51A95"/>
    <w:rsid w:val="00D7446E"/>
    <w:rsid w:val="00DD142A"/>
    <w:rsid w:val="00E253EF"/>
    <w:rsid w:val="00E4321D"/>
    <w:rsid w:val="00EB68C7"/>
    <w:rsid w:val="00F03C68"/>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CF4BA5"/>
    <w:pPr>
      <w:keepNext/>
      <w:spacing w:before="240" w:after="60"/>
      <w:outlineLvl w:val="0"/>
    </w:pPr>
    <w:rPr>
      <w:rFonts w:ascii="Arial" w:hAnsi="Arial" w:cs="Arial"/>
      <w:b/>
      <w:bCs/>
      <w:color w:val="C00000"/>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927</Words>
  <Characters>4717</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Employee Handbook</vt:lpstr>
      <vt:lpstr>Rates of Pay</vt:lpstr>
      <vt:lpstr>    Hourly Wage Schedule</vt:lpstr>
      <vt:lpstr>    Shift Differentials</vt:lpstr>
      <vt:lpstr>    Cost of Living Adjustment</vt:lpstr>
      <vt:lpstr>Overtime</vt:lpstr>
    </vt:vector>
  </TitlesOfParts>
  <Company>SF Tech Training</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3</cp:revision>
  <dcterms:created xsi:type="dcterms:W3CDTF">2024-06-05T16:52:00Z</dcterms:created>
  <dcterms:modified xsi:type="dcterms:W3CDTF">2024-06-05T20:36:00Z</dcterms:modified>
</cp:coreProperties>
</file>